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88CD7" w14:textId="0F37DC1D" w:rsidR="00672591" w:rsidRDefault="00672591" w:rsidP="00672591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Context</w:t>
      </w:r>
    </w:p>
    <w:p w14:paraId="5DB30F00" w14:textId="7D129C10" w:rsidR="00D22319" w:rsidRDefault="007958A3" w:rsidP="00CB3153">
      <w:pPr>
        <w:pStyle w:val="NoSpacing"/>
      </w:pPr>
      <w:r w:rsidRPr="007958A3">
        <w:rPr>
          <w:b/>
          <w:bCs/>
        </w:rPr>
        <w:t>Cybersecurity Maturity Model Certification (</w:t>
      </w:r>
      <w:r w:rsidR="00672591" w:rsidRPr="007958A3">
        <w:rPr>
          <w:b/>
          <w:bCs/>
        </w:rPr>
        <w:t>CMMC</w:t>
      </w:r>
      <w:r w:rsidRPr="007958A3">
        <w:rPr>
          <w:b/>
          <w:bCs/>
        </w:rPr>
        <w:t>)</w:t>
      </w:r>
      <w:r w:rsidR="00672591" w:rsidRPr="00672591">
        <w:t xml:space="preserve"> is a </w:t>
      </w:r>
      <w:r w:rsidR="00CB3153">
        <w:t xml:space="preserve">US Department of Defense (DoD) Cybersecurity mandate that is impacting </w:t>
      </w:r>
      <w:r w:rsidR="00AC01A7">
        <w:t xml:space="preserve">the </w:t>
      </w:r>
      <w:r w:rsidR="00CB3153">
        <w:t xml:space="preserve">“DIB”, </w:t>
      </w:r>
      <w:r w:rsidR="00AC01A7">
        <w:t>(</w:t>
      </w:r>
      <w:r w:rsidR="00CB3153">
        <w:t>Defense Industrial Base</w:t>
      </w:r>
      <w:r w:rsidR="00AC01A7">
        <w:t>),</w:t>
      </w:r>
      <w:r w:rsidR="00CB3153">
        <w:t xml:space="preserve"> </w:t>
      </w:r>
      <w:r w:rsidR="005F32C9">
        <w:t>who</w:t>
      </w:r>
      <w:r w:rsidR="00CB3153">
        <w:t xml:space="preserve"> provide products and services to the DoD.  </w:t>
      </w:r>
      <w:r w:rsidR="00103CBC">
        <w:t>Those impacted are p</w:t>
      </w:r>
      <w:r w:rsidR="00CB3153">
        <w:t xml:space="preserve">rimarily defense contractors </w:t>
      </w:r>
      <w:r>
        <w:t xml:space="preserve">ranging from those </w:t>
      </w:r>
      <w:r w:rsidR="00CB3153">
        <w:t xml:space="preserve">who </w:t>
      </w:r>
      <w:r w:rsidR="005F32C9">
        <w:t>lead</w:t>
      </w:r>
      <w:r w:rsidR="00CB3153">
        <w:t xml:space="preserve"> major programs </w:t>
      </w:r>
      <w:r>
        <w:t xml:space="preserve">to smaller suppliers </w:t>
      </w:r>
      <w:r w:rsidR="005F32C9">
        <w:t xml:space="preserve">who </w:t>
      </w:r>
      <w:r>
        <w:t>provide s</w:t>
      </w:r>
      <w:r w:rsidR="00E92C1A">
        <w:t>ub-</w:t>
      </w:r>
      <w:r>
        <w:t xml:space="preserve">components </w:t>
      </w:r>
      <w:r w:rsidR="00CB3153">
        <w:t xml:space="preserve">are </w:t>
      </w:r>
      <w:r w:rsidR="005F32C9">
        <w:t xml:space="preserve">directly </w:t>
      </w:r>
      <w:r w:rsidR="00CB3153">
        <w:t>impacted.  Additionally</w:t>
      </w:r>
      <w:r>
        <w:t>,</w:t>
      </w:r>
      <w:r w:rsidR="00CB3153">
        <w:t xml:space="preserve"> University research related to the DoD is also required to meet CMMC benchmarks.</w:t>
      </w:r>
      <w:r>
        <w:t xml:space="preserve"> CMMC requires the entire supply chain be included</w:t>
      </w:r>
      <w:r w:rsidR="005F32C9">
        <w:t>,</w:t>
      </w:r>
      <w:r>
        <w:t xml:space="preserve"> at various level of depth</w:t>
      </w:r>
      <w:r w:rsidR="00D22319">
        <w:t xml:space="preserve"> depending on several parameters</w:t>
      </w:r>
      <w:r>
        <w:t xml:space="preserve">.  </w:t>
      </w:r>
    </w:p>
    <w:p w14:paraId="4DD9CD34" w14:textId="77777777" w:rsidR="00D22319" w:rsidRDefault="00D22319" w:rsidP="00CB3153">
      <w:pPr>
        <w:pStyle w:val="NoSpacing"/>
      </w:pPr>
    </w:p>
    <w:p w14:paraId="74116762" w14:textId="4DFA00DB" w:rsidR="00CB3153" w:rsidRDefault="007958A3" w:rsidP="00CB3153">
      <w:pPr>
        <w:pStyle w:val="NoSpacing"/>
      </w:pPr>
      <w:r>
        <w:t>The US is most impacted</w:t>
      </w:r>
      <w:r w:rsidR="000028EF">
        <w:t>.</w:t>
      </w:r>
      <w:r>
        <w:t xml:space="preserve"> </w:t>
      </w:r>
      <w:r w:rsidR="000028EF">
        <w:t>F</w:t>
      </w:r>
      <w:r>
        <w:t xml:space="preserve">riendly nations who contract with the DoD also </w:t>
      </w:r>
      <w:r w:rsidR="000028EF">
        <w:t>be required to comply</w:t>
      </w:r>
      <w:r>
        <w:t>.  CMMC will expand as NATO looks at this as an international standard.</w:t>
      </w:r>
      <w:r w:rsidR="000028EF">
        <w:t xml:space="preserve">  </w:t>
      </w:r>
      <w:r w:rsidR="002B2930">
        <w:t xml:space="preserve">CMMC </w:t>
      </w:r>
      <w:r w:rsidR="00AC51EF">
        <w:t xml:space="preserve">is likely to </w:t>
      </w:r>
      <w:r w:rsidR="002B2930">
        <w:t xml:space="preserve">expand across all US Government contractors and in time could be a requirement </w:t>
      </w:r>
      <w:r w:rsidR="00AC51EF">
        <w:t>for publicly traded companies.</w:t>
      </w:r>
      <w:r w:rsidR="005F32C9">
        <w:t xml:space="preserve"> </w:t>
      </w:r>
    </w:p>
    <w:p w14:paraId="76319483" w14:textId="671B6617" w:rsidR="00A25F1C" w:rsidRDefault="00A25F1C" w:rsidP="00CB3153">
      <w:pPr>
        <w:pStyle w:val="NoSpacing"/>
      </w:pPr>
    </w:p>
    <w:p w14:paraId="21286DFA" w14:textId="48D77A50" w:rsidR="00A25F1C" w:rsidRDefault="00A25F1C" w:rsidP="00CB3153">
      <w:pPr>
        <w:pStyle w:val="NoSpacing"/>
      </w:pPr>
      <w:r>
        <w:t xml:space="preserve">CMMC requires the DIB to meet specific security requirements in their environment </w:t>
      </w:r>
      <w:r w:rsidR="00110D1B">
        <w:t>as detailed by the DoD.  These requirements grow in number and co</w:t>
      </w:r>
      <w:r w:rsidR="00FD7C7E">
        <w:t>mplexity as a</w:t>
      </w:r>
      <w:r w:rsidR="00BD111D">
        <w:t>n</w:t>
      </w:r>
      <w:r w:rsidR="00FD7C7E">
        <w:t xml:space="preserve"> organization</w:t>
      </w:r>
      <w:r w:rsidR="006175A9">
        <w:t xml:space="preserve">’s relationship </w:t>
      </w:r>
      <w:r w:rsidR="00010452">
        <w:t xml:space="preserve">to the DoD programs expands.  For </w:t>
      </w:r>
      <w:r w:rsidR="00B721F4">
        <w:t>example,</w:t>
      </w:r>
      <w:r w:rsidR="00010452">
        <w:t xml:space="preserve"> a small supplier might only need to meet Level One requirements where an organization who is a prime contractor on a major weapon system will need to reach </w:t>
      </w:r>
      <w:r w:rsidR="00D34418">
        <w:t xml:space="preserve">Level Five including all levels below.   </w:t>
      </w:r>
      <w:r w:rsidR="00CE1418">
        <w:t xml:space="preserve">A major </w:t>
      </w:r>
      <w:r w:rsidR="00B84841">
        <w:t xml:space="preserve">requirement of CMMC is that </w:t>
      </w:r>
      <w:r w:rsidR="00235113">
        <w:t>an audit by an approved assessor to gain the certification needed to bid on RFPs.</w:t>
      </w:r>
      <w:r w:rsidR="004235D3">
        <w:t xml:space="preserve"> Ongoing monitoring and reassessments are part of the </w:t>
      </w:r>
      <w:r w:rsidR="00A76179">
        <w:t>program as well.</w:t>
      </w:r>
      <w:r w:rsidR="00235113">
        <w:t xml:space="preserve">  </w:t>
      </w:r>
    </w:p>
    <w:p w14:paraId="74ED2C37" w14:textId="49C6408D" w:rsidR="00FB59CC" w:rsidRDefault="00FB59CC" w:rsidP="00CB3153">
      <w:pPr>
        <w:pStyle w:val="NoSpacing"/>
      </w:pPr>
    </w:p>
    <w:p w14:paraId="7F6FFD52" w14:textId="55361915" w:rsidR="0051719F" w:rsidRPr="00195B1A" w:rsidRDefault="00195B1A" w:rsidP="00CB3153">
      <w:pPr>
        <w:pStyle w:val="NoSpacing"/>
        <w:rPr>
          <w:b/>
          <w:bCs/>
          <w:sz w:val="32"/>
          <w:szCs w:val="32"/>
        </w:rPr>
      </w:pPr>
      <w:r w:rsidRPr="00195B1A">
        <w:rPr>
          <w:b/>
          <w:bCs/>
          <w:sz w:val="32"/>
          <w:szCs w:val="32"/>
        </w:rPr>
        <w:t>Scope</w:t>
      </w:r>
    </w:p>
    <w:p w14:paraId="33D1EEAB" w14:textId="5837EEF7" w:rsidR="0061181E" w:rsidRDefault="003773F0" w:rsidP="00CB3153">
      <w:pPr>
        <w:pStyle w:val="NoSpacing"/>
      </w:pPr>
      <w:r>
        <w:t xml:space="preserve">Achieving the </w:t>
      </w:r>
      <w:r w:rsidR="000918CC">
        <w:t xml:space="preserve">certification needed to bid on DoD RFPs will </w:t>
      </w:r>
      <w:r w:rsidR="00351E6B">
        <w:t xml:space="preserve">require existing enterprises </w:t>
      </w:r>
      <w:r w:rsidR="006853ED">
        <w:t>to</w:t>
      </w:r>
      <w:r w:rsidR="00351E6B">
        <w:t xml:space="preserve"> compare their own </w:t>
      </w:r>
      <w:r w:rsidR="005C0CCC">
        <w:t xml:space="preserve">IT </w:t>
      </w:r>
      <w:r w:rsidR="00351E6B">
        <w:t>environments to the requirements and implement controls and processes that will allow them to pass this assessment.</w:t>
      </w:r>
      <w:r w:rsidR="00C018F3">
        <w:t xml:space="preserve">  Many </w:t>
      </w:r>
      <w:r w:rsidR="005204C1">
        <w:t xml:space="preserve">organizations in the DIB have mixed DoD and non-DoD </w:t>
      </w:r>
      <w:r w:rsidR="00895975">
        <w:t>customers.  CMMC forces them to examine the flow of sensitive information known as C</w:t>
      </w:r>
      <w:r w:rsidR="006C4C11">
        <w:t>ontrolled Unclassified Information (CUI)</w:t>
      </w:r>
      <w:r w:rsidR="00AB512D">
        <w:t xml:space="preserve"> through out their organization and control what systems</w:t>
      </w:r>
      <w:r w:rsidR="007F683B">
        <w:t xml:space="preserve"> and employees work with that information.  Those who do not need access </w:t>
      </w:r>
      <w:r w:rsidR="008E2030">
        <w:t xml:space="preserve">will need to be systematically prevented from doing so.  </w:t>
      </w:r>
      <w:r w:rsidR="007F1AD0">
        <w:t xml:space="preserve">Other requirements include encryption of data in transit and at rest.  </w:t>
      </w:r>
      <w:r w:rsidR="0061181E">
        <w:t>The entire IT infrastructure including clouds being used are subject to inspection.</w:t>
      </w:r>
      <w:r w:rsidR="00636227">
        <w:t xml:space="preserve">  The path to completion is summed up here:</w:t>
      </w:r>
    </w:p>
    <w:p w14:paraId="74D76B8B" w14:textId="0745B055" w:rsidR="00636227" w:rsidRDefault="00636227" w:rsidP="00CB3153">
      <w:pPr>
        <w:pStyle w:val="NoSpacing"/>
      </w:pPr>
    </w:p>
    <w:p w14:paraId="178A51AC" w14:textId="564293EB" w:rsidR="00636227" w:rsidRDefault="00D24B76" w:rsidP="00636227">
      <w:pPr>
        <w:pStyle w:val="NoSpacing"/>
        <w:numPr>
          <w:ilvl w:val="0"/>
          <w:numId w:val="1"/>
        </w:numPr>
      </w:pPr>
      <w:r>
        <w:t xml:space="preserve">Review of current state to determine where CUI data might enter an </w:t>
      </w:r>
      <w:r w:rsidR="000E003A">
        <w:t>organization and how it would flow.</w:t>
      </w:r>
    </w:p>
    <w:p w14:paraId="533186AC" w14:textId="75CF0D0A" w:rsidR="000E003A" w:rsidRDefault="000E003A" w:rsidP="00636227">
      <w:pPr>
        <w:pStyle w:val="NoSpacing"/>
        <w:numPr>
          <w:ilvl w:val="0"/>
          <w:numId w:val="1"/>
        </w:numPr>
      </w:pPr>
      <w:r>
        <w:t>Determination of who should be granted access to the CUI data.</w:t>
      </w:r>
    </w:p>
    <w:p w14:paraId="233436AA" w14:textId="4E254A16" w:rsidR="000E003A" w:rsidRDefault="000E003A" w:rsidP="00636227">
      <w:pPr>
        <w:pStyle w:val="NoSpacing"/>
        <w:numPr>
          <w:ilvl w:val="0"/>
          <w:numId w:val="1"/>
        </w:numPr>
      </w:pPr>
      <w:r>
        <w:t xml:space="preserve">Creation of a boundary that restricts where the CUI information is </w:t>
      </w:r>
      <w:r w:rsidR="001E1D96">
        <w:t>located.</w:t>
      </w:r>
    </w:p>
    <w:p w14:paraId="079802F7" w14:textId="005A301F" w:rsidR="001E1D96" w:rsidRDefault="001E1D96" w:rsidP="00636227">
      <w:pPr>
        <w:pStyle w:val="NoSpacing"/>
        <w:numPr>
          <w:ilvl w:val="0"/>
          <w:numId w:val="1"/>
        </w:numPr>
      </w:pPr>
      <w:r>
        <w:t xml:space="preserve">Implementation of controls </w:t>
      </w:r>
      <w:r w:rsidR="00D06EB3">
        <w:t>that meet CMMC needs including control of access to the CUI data.</w:t>
      </w:r>
    </w:p>
    <w:p w14:paraId="0363B884" w14:textId="77777777" w:rsidR="00DC61BD" w:rsidRDefault="00D06EB3" w:rsidP="00636227">
      <w:pPr>
        <w:pStyle w:val="NoSpacing"/>
        <w:numPr>
          <w:ilvl w:val="0"/>
          <w:numId w:val="1"/>
        </w:numPr>
      </w:pPr>
      <w:r>
        <w:t xml:space="preserve">Completion of </w:t>
      </w:r>
      <w:r w:rsidR="00DC61BD">
        <w:t xml:space="preserve">an assessment by an approved auditor resulting in the CMMC accreditation. </w:t>
      </w:r>
    </w:p>
    <w:p w14:paraId="1EF4B808" w14:textId="211B3FD9" w:rsidR="00D06EB3" w:rsidRDefault="00552628" w:rsidP="00636227">
      <w:pPr>
        <w:pStyle w:val="NoSpacing"/>
        <w:numPr>
          <w:ilvl w:val="0"/>
          <w:numId w:val="1"/>
        </w:numPr>
      </w:pPr>
      <w:r>
        <w:t>Ensuring ongoing CMMC compliance and readiness for reoccurring audits of the environment.</w:t>
      </w:r>
      <w:r w:rsidR="00DC61BD">
        <w:t xml:space="preserve"> </w:t>
      </w:r>
    </w:p>
    <w:p w14:paraId="2D6D36E2" w14:textId="3D1E6EB6" w:rsidR="00552628" w:rsidRDefault="00552628" w:rsidP="00552628">
      <w:pPr>
        <w:pStyle w:val="NoSpacing"/>
      </w:pPr>
    </w:p>
    <w:p w14:paraId="538A1BCD" w14:textId="09EC0BFE" w:rsidR="00731CF9" w:rsidRDefault="00731CF9" w:rsidP="00552628">
      <w:pPr>
        <w:pStyle w:val="NoSpacing"/>
      </w:pPr>
      <w:r>
        <w:t xml:space="preserve">The working group will look at all aspects of CMMC including the </w:t>
      </w:r>
      <w:r w:rsidR="00FD59B9">
        <w:t xml:space="preserve">specific requirements.  It will recommend best practices that will reduce the burden </w:t>
      </w:r>
      <w:r w:rsidR="006F74A6">
        <w:t>on the organization to complete these steps.  It could make recommendations to the CMMC Advisory Board</w:t>
      </w:r>
      <w:r w:rsidR="00620786">
        <w:t xml:space="preserve"> that would have mutual benefits to the DoD and the organizations working to be compliant under CMMC rules.   </w:t>
      </w:r>
    </w:p>
    <w:p w14:paraId="3F94BEEE" w14:textId="486D7804" w:rsidR="00AC26CC" w:rsidRDefault="00AC26CC" w:rsidP="00552628">
      <w:pPr>
        <w:pStyle w:val="NoSpacing"/>
      </w:pPr>
    </w:p>
    <w:p w14:paraId="16D9B02F" w14:textId="77777777" w:rsidR="00AC26CC" w:rsidRDefault="00AC26CC" w:rsidP="00AC26CC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Objective</w:t>
      </w:r>
    </w:p>
    <w:p w14:paraId="6F06D07D" w14:textId="37818934" w:rsidR="00BA16B7" w:rsidRDefault="00AC26CC" w:rsidP="001B4548">
      <w:pPr>
        <w:pStyle w:val="NoSpacing"/>
      </w:pPr>
      <w:r>
        <w:lastRenderedPageBreak/>
        <w:t>The objective of this working group is to create a clear pathway for a</w:t>
      </w:r>
      <w:r w:rsidR="008D6CAC">
        <w:t xml:space="preserve"> DIB</w:t>
      </w:r>
      <w:r>
        <w:t xml:space="preserve"> to be able to implement CMMC. The working group will take a strategic and wholistic approach to create deliverables that will define an actionable plan.</w:t>
      </w:r>
    </w:p>
    <w:p w14:paraId="4B28A3AE" w14:textId="391829C2" w:rsidR="001B4548" w:rsidRPr="00BA16B7" w:rsidRDefault="001B4548" w:rsidP="001B4548">
      <w:pPr>
        <w:pStyle w:val="NoSpacing"/>
      </w:pPr>
      <w:r>
        <w:rPr>
          <w:b/>
          <w:bCs/>
          <w:i/>
          <w:iCs/>
        </w:rPr>
        <w:t>Deliverables</w:t>
      </w:r>
    </w:p>
    <w:p w14:paraId="711C1EE1" w14:textId="77777777" w:rsidR="001B4548" w:rsidRDefault="001B4548" w:rsidP="001B4548">
      <w:pPr>
        <w:pStyle w:val="NoSpacing"/>
      </w:pPr>
      <w:r>
        <w:t xml:space="preserve">The deliverables will be: </w:t>
      </w:r>
    </w:p>
    <w:p w14:paraId="5ED98151" w14:textId="7F5DEE4B" w:rsidR="001B4548" w:rsidRDefault="001B4548" w:rsidP="001B4548">
      <w:pPr>
        <w:pStyle w:val="NoSpacing"/>
        <w:numPr>
          <w:ilvl w:val="0"/>
          <w:numId w:val="2"/>
        </w:numPr>
      </w:pPr>
      <w:r>
        <w:t>An actionable plan that an agency/business can use as a guideline to implement CMMC</w:t>
      </w:r>
    </w:p>
    <w:p w14:paraId="5942E9B3" w14:textId="0235E58F" w:rsidR="001B4548" w:rsidRDefault="00A662C9" w:rsidP="001B4548">
      <w:pPr>
        <w:pStyle w:val="NoSpacing"/>
        <w:numPr>
          <w:ilvl w:val="0"/>
          <w:numId w:val="2"/>
        </w:numPr>
      </w:pPr>
      <w:r>
        <w:t xml:space="preserve">Creation of best practices based on levels </w:t>
      </w:r>
      <w:r w:rsidR="003F6592">
        <w:t>for an impacted organization to leverage.</w:t>
      </w:r>
    </w:p>
    <w:p w14:paraId="2FDB55BE" w14:textId="24B74AE2" w:rsidR="001B4548" w:rsidRDefault="001B4548" w:rsidP="0098136F">
      <w:pPr>
        <w:pStyle w:val="NoSpacing"/>
        <w:numPr>
          <w:ilvl w:val="0"/>
          <w:numId w:val="2"/>
        </w:numPr>
      </w:pPr>
      <w:r>
        <w:t>Delivery of a proof of concept. The proof of concept ca</w:t>
      </w:r>
      <w:r w:rsidR="000C3E68">
        <w:t xml:space="preserve">n be development of a lab tests CMMC controls in action.  Assessors can examine the lab set-up </w:t>
      </w:r>
      <w:r w:rsidR="0098136F">
        <w:t>to validate recommendations.</w:t>
      </w:r>
    </w:p>
    <w:p w14:paraId="26C0911A" w14:textId="22629E29" w:rsidR="0098136F" w:rsidRDefault="0098136F" w:rsidP="0098136F">
      <w:pPr>
        <w:pStyle w:val="NoSpacing"/>
      </w:pPr>
    </w:p>
    <w:p w14:paraId="7C32F301" w14:textId="77777777" w:rsidR="00AA01FE" w:rsidRDefault="00AA01FE" w:rsidP="00AA01F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Cadence and Membership</w:t>
      </w:r>
    </w:p>
    <w:p w14:paraId="49A169E5" w14:textId="7F529533" w:rsidR="00AA01FE" w:rsidRDefault="00AA01FE" w:rsidP="00AA01FE">
      <w:pPr>
        <w:pStyle w:val="NoSpacing"/>
      </w:pPr>
      <w:r>
        <w:t xml:space="preserve">The cadence of the meeting will be every other week from TBD. The co-chairs (TBD) will facilitate an environment to present new ideas and discussion topics. This environment will allow for questions to be asked and to find resolution </w:t>
      </w:r>
      <w:r w:rsidR="00FD0B92">
        <w:t>to common challenge issues</w:t>
      </w:r>
      <w:r>
        <w:t xml:space="preserve">. </w:t>
      </w:r>
      <w:r w:rsidR="00D44ED3">
        <w:t>Members from the Advisory Board and Ass</w:t>
      </w:r>
      <w:r w:rsidR="00137F0E">
        <w:t xml:space="preserve">essors should be recruited </w:t>
      </w:r>
      <w:r w:rsidR="00D57CF0">
        <w:t xml:space="preserve">into the team.  </w:t>
      </w:r>
      <w:r>
        <w:t xml:space="preserve">A representative from ATARC will keep track of minutes/notes per meeting and make them available using the file sharing collaboration tool listed below. </w:t>
      </w:r>
    </w:p>
    <w:p w14:paraId="3C5A4E8F" w14:textId="77777777" w:rsidR="00AA01FE" w:rsidRDefault="00AA01FE" w:rsidP="0098136F">
      <w:pPr>
        <w:pStyle w:val="NoSpacing"/>
      </w:pPr>
    </w:p>
    <w:p w14:paraId="38847511" w14:textId="77777777" w:rsidR="00524366" w:rsidRDefault="00524366" w:rsidP="0052436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</w:t>
      </w:r>
    </w:p>
    <w:tbl>
      <w:tblPr>
        <w:tblStyle w:val="GridTable2-Accent5"/>
        <w:tblW w:w="0" w:type="auto"/>
        <w:tblInd w:w="0" w:type="dxa"/>
        <w:tblLook w:val="04A0" w:firstRow="1" w:lastRow="0" w:firstColumn="1" w:lastColumn="0" w:noHBand="0" w:noVBand="1"/>
      </w:tblPr>
      <w:tblGrid>
        <w:gridCol w:w="1834"/>
        <w:gridCol w:w="2953"/>
        <w:gridCol w:w="1904"/>
        <w:gridCol w:w="2669"/>
      </w:tblGrid>
      <w:tr w:rsidR="00524366" w14:paraId="0D18C14C" w14:textId="77777777" w:rsidTr="00524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left w:val="nil"/>
            </w:tcBorders>
            <w:hideMark/>
          </w:tcPr>
          <w:p w14:paraId="4C8BDB1A" w14:textId="77777777" w:rsidR="00524366" w:rsidRDefault="00524366">
            <w:pPr>
              <w:pStyle w:val="NoSpacing"/>
            </w:pPr>
            <w:r>
              <w:t>Name</w:t>
            </w:r>
          </w:p>
        </w:tc>
        <w:tc>
          <w:tcPr>
            <w:tcW w:w="3061" w:type="dxa"/>
            <w:hideMark/>
          </w:tcPr>
          <w:p w14:paraId="2C614AB0" w14:textId="77777777" w:rsidR="00524366" w:rsidRDefault="005243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911" w:type="dxa"/>
            <w:hideMark/>
          </w:tcPr>
          <w:p w14:paraId="2B7B1E67" w14:textId="77777777" w:rsidR="00524366" w:rsidRDefault="005243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Agency/Business</w:t>
            </w:r>
          </w:p>
        </w:tc>
        <w:tc>
          <w:tcPr>
            <w:tcW w:w="2718" w:type="dxa"/>
            <w:tcBorders>
              <w:right w:val="nil"/>
            </w:tcBorders>
            <w:hideMark/>
          </w:tcPr>
          <w:p w14:paraId="2D4A0E71" w14:textId="77777777" w:rsidR="00524366" w:rsidRDefault="005243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524366" w14:paraId="6E408209" w14:textId="77777777" w:rsidTr="005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9BC3596" w14:textId="47C27CDE" w:rsidR="00524366" w:rsidRDefault="00524366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4607F15" w14:textId="15E6867F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4F7F5F6" w14:textId="261BDC7E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47A3B416" w14:textId="46E04DF7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366" w14:paraId="35276D55" w14:textId="77777777" w:rsidTr="005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BC98F80" w14:textId="5022E8B4" w:rsidR="00524366" w:rsidRDefault="00524366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E9301A2" w14:textId="577F77C7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8B27F6A" w14:textId="4745B00B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62CEDDFF" w14:textId="0B3D3C79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366" w14:paraId="3546A528" w14:textId="77777777" w:rsidTr="005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49A2CB9" w14:textId="48435A34" w:rsidR="00524366" w:rsidRDefault="00524366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9B27CB0" w14:textId="09B6E387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F6650B6" w14:textId="2E04D046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13336216" w14:textId="6646324E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366" w14:paraId="5C935864" w14:textId="77777777" w:rsidTr="005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23ACE17" w14:textId="3F73AA90" w:rsidR="00524366" w:rsidRDefault="00524366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5012B09" w14:textId="5D69D094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8DCDAA7" w14:textId="2064FDD0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3BBCFF1A" w14:textId="5AE86484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366" w14:paraId="4FDF0EF0" w14:textId="77777777" w:rsidTr="005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1BB2ED44" w14:textId="45874999" w:rsidR="00524366" w:rsidRDefault="00524366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A4503A0" w14:textId="5D0C8CED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4A8D444" w14:textId="1DBFAAEA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5BE3DE96" w14:textId="53632643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366" w14:paraId="0F40011F" w14:textId="77777777" w:rsidTr="005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B4CDCFD" w14:textId="093257D2" w:rsidR="00524366" w:rsidRDefault="00524366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EC69A8C" w14:textId="3453AD76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423AF05" w14:textId="721F42D4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17FE3B92" w14:textId="77777777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366" w14:paraId="5923C933" w14:textId="77777777" w:rsidTr="005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2577B4C4" w14:textId="77777777" w:rsidR="00524366" w:rsidRDefault="00524366">
            <w:pPr>
              <w:pStyle w:val="NoSpacing"/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7C5E8703" w14:textId="77777777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16E66B0" w14:textId="77777777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13665DA9" w14:textId="77777777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366" w14:paraId="6D2FE7C7" w14:textId="77777777" w:rsidTr="00524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CEA9B31" w14:textId="77777777" w:rsidR="00524366" w:rsidRDefault="00524366">
            <w:pPr>
              <w:pStyle w:val="NoSpacing"/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5F5095B1" w14:textId="77777777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318BA0E9" w14:textId="77777777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54A8DCEA" w14:textId="77777777" w:rsidR="00524366" w:rsidRDefault="005243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366" w14:paraId="1F3248C2" w14:textId="77777777" w:rsidTr="00524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single" w:sz="2" w:space="0" w:color="9CC2E5" w:themeColor="accent5" w:themeTint="99"/>
              <w:left w:val="nil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61DBB746" w14:textId="77777777" w:rsidR="00524366" w:rsidRDefault="00524366">
            <w:pPr>
              <w:pStyle w:val="NoSpacing"/>
            </w:pPr>
          </w:p>
        </w:tc>
        <w:tc>
          <w:tcPr>
            <w:tcW w:w="306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4512ED8B" w14:textId="77777777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1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single" w:sz="2" w:space="0" w:color="9CC2E5" w:themeColor="accent5" w:themeTint="99"/>
            </w:tcBorders>
          </w:tcPr>
          <w:p w14:paraId="022FC3AB" w14:textId="77777777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</w:tcPr>
          <w:p w14:paraId="7D72263F" w14:textId="77777777" w:rsidR="00524366" w:rsidRDefault="005243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46A58B" w14:textId="6B5FBF7F" w:rsidR="00AC26CC" w:rsidRDefault="00AC26CC" w:rsidP="00AC26CC">
      <w:pPr>
        <w:pStyle w:val="NoSpacing"/>
      </w:pPr>
    </w:p>
    <w:p w14:paraId="53424B6B" w14:textId="5144B9C6" w:rsidR="00524366" w:rsidRDefault="00524366" w:rsidP="00AC26CC">
      <w:pPr>
        <w:pStyle w:val="NoSpacing"/>
      </w:pPr>
    </w:p>
    <w:p w14:paraId="15133812" w14:textId="77777777" w:rsidR="00520CC3" w:rsidRDefault="00520CC3" w:rsidP="00520CC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Rules of Engagement</w:t>
      </w:r>
    </w:p>
    <w:p w14:paraId="1D5ACD27" w14:textId="77777777" w:rsidR="00520CC3" w:rsidRDefault="00520CC3" w:rsidP="00520CC3">
      <w:pPr>
        <w:pStyle w:val="NoSpacing"/>
      </w:pPr>
      <w:r>
        <w:t xml:space="preserve">The working group rules of engagement are described as below: </w:t>
      </w:r>
    </w:p>
    <w:p w14:paraId="3F7D1700" w14:textId="77777777" w:rsidR="00520CC3" w:rsidRDefault="00520CC3" w:rsidP="00520CC3">
      <w:pPr>
        <w:pStyle w:val="NoSpacing"/>
      </w:pPr>
    </w:p>
    <w:p w14:paraId="3CE83FEE" w14:textId="77777777" w:rsidR="00520CC3" w:rsidRDefault="00520CC3" w:rsidP="00520CC3">
      <w:pPr>
        <w:pStyle w:val="NoSpacing"/>
        <w:numPr>
          <w:ilvl w:val="0"/>
          <w:numId w:val="3"/>
        </w:numPr>
      </w:pPr>
      <w:r>
        <w:t>Meet bi-weekly from 10/22/2020 to 2021</w:t>
      </w:r>
    </w:p>
    <w:p w14:paraId="34E95AA3" w14:textId="77777777" w:rsidR="00520CC3" w:rsidRDefault="00520CC3" w:rsidP="00520CC3">
      <w:pPr>
        <w:pStyle w:val="NoSpacing"/>
        <w:numPr>
          <w:ilvl w:val="0"/>
          <w:numId w:val="3"/>
        </w:numPr>
      </w:pPr>
      <w:r>
        <w:t>For subgroups to work on specific topic areas to inform the broader group</w:t>
      </w:r>
    </w:p>
    <w:p w14:paraId="7746FC7F" w14:textId="77777777" w:rsidR="00520CC3" w:rsidRDefault="00520CC3" w:rsidP="00520CC3">
      <w:pPr>
        <w:pStyle w:val="NoSpacing"/>
        <w:numPr>
          <w:ilvl w:val="0"/>
          <w:numId w:val="3"/>
        </w:numPr>
      </w:pPr>
      <w:r>
        <w:t>Follow the group’s ground rules developed in the charter</w:t>
      </w:r>
    </w:p>
    <w:p w14:paraId="795199CE" w14:textId="77777777" w:rsidR="00520CC3" w:rsidRDefault="00520CC3" w:rsidP="00520CC3">
      <w:pPr>
        <w:pStyle w:val="NoSpacing"/>
        <w:numPr>
          <w:ilvl w:val="0"/>
          <w:numId w:val="3"/>
        </w:numPr>
      </w:pPr>
      <w:r>
        <w:t>Decisions are made by the co-chairs</w:t>
      </w:r>
    </w:p>
    <w:p w14:paraId="4A8675D6" w14:textId="77777777" w:rsidR="00520CC3" w:rsidRDefault="00520CC3" w:rsidP="00520CC3">
      <w:pPr>
        <w:pStyle w:val="NoSpacing"/>
      </w:pPr>
    </w:p>
    <w:p w14:paraId="23637247" w14:textId="77777777" w:rsidR="00520CC3" w:rsidRDefault="00520CC3" w:rsidP="00520CC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Sharing and Collaboration Tools</w:t>
      </w:r>
    </w:p>
    <w:p w14:paraId="3923D7F9" w14:textId="77777777" w:rsidR="00520CC3" w:rsidRDefault="00520CC3" w:rsidP="00520CC3">
      <w:pPr>
        <w:pStyle w:val="NoSpacing"/>
        <w:rPr>
          <w:i/>
          <w:iCs/>
        </w:rPr>
      </w:pPr>
      <w:r>
        <w:rPr>
          <w:i/>
          <w:iCs/>
        </w:rPr>
        <w:t>Access</w:t>
      </w:r>
    </w:p>
    <w:p w14:paraId="2F213E8E" w14:textId="77777777" w:rsidR="00520CC3" w:rsidRDefault="00520CC3" w:rsidP="00520CC3">
      <w:pPr>
        <w:pStyle w:val="NoSpacing"/>
      </w:pPr>
      <w:r>
        <w:t>Access to the ATARC Huddle Instance is managed by Kiersten Patton (</w:t>
      </w:r>
      <w:hyperlink r:id="rId5" w:history="1">
        <w:r>
          <w:rPr>
            <w:rStyle w:val="Hyperlink"/>
          </w:rPr>
          <w:t>kpatton@atarc.org</w:t>
        </w:r>
      </w:hyperlink>
      <w:r>
        <w:t xml:space="preserve"> ).</w:t>
      </w:r>
    </w:p>
    <w:p w14:paraId="296991EC" w14:textId="77777777" w:rsidR="00520CC3" w:rsidRDefault="00520CC3" w:rsidP="00520CC3">
      <w:pPr>
        <w:pStyle w:val="NoSpacing"/>
      </w:pPr>
    </w:p>
    <w:p w14:paraId="520FD763" w14:textId="77777777" w:rsidR="00520CC3" w:rsidRDefault="00520CC3" w:rsidP="00520CC3">
      <w:pPr>
        <w:pStyle w:val="NoSpacing"/>
        <w:rPr>
          <w:i/>
          <w:iCs/>
        </w:rPr>
      </w:pPr>
      <w:r>
        <w:rPr>
          <w:i/>
          <w:iCs/>
        </w:rPr>
        <w:t>Documentation Repository</w:t>
      </w:r>
    </w:p>
    <w:p w14:paraId="18596AE7" w14:textId="01390C06" w:rsidR="00BA16B7" w:rsidRDefault="00520CC3" w:rsidP="007A3069">
      <w:pPr>
        <w:pStyle w:val="NoSpacing"/>
      </w:pPr>
      <w:r>
        <w:t>TBD</w:t>
      </w:r>
    </w:p>
    <w:p w14:paraId="1763AC95" w14:textId="77777777" w:rsidR="00520CC3" w:rsidRDefault="00520CC3" w:rsidP="00AC26CC">
      <w:pPr>
        <w:pStyle w:val="NoSpacing"/>
      </w:pPr>
    </w:p>
    <w:p w14:paraId="10562033" w14:textId="77777777" w:rsidR="00BA16B7" w:rsidRDefault="00BA16B7" w:rsidP="00BA16B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Version Control</w:t>
      </w:r>
    </w:p>
    <w:tbl>
      <w:tblPr>
        <w:tblStyle w:val="GridTable4-Accent5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27"/>
        <w:gridCol w:w="2335"/>
        <w:gridCol w:w="2351"/>
      </w:tblGrid>
      <w:tr w:rsidR="00BA16B7" w14:paraId="1AF41E90" w14:textId="77777777" w:rsidTr="00BA1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531DFDB2" w14:textId="77777777" w:rsidR="00BA16B7" w:rsidRDefault="00BA16B7">
            <w:pPr>
              <w:pStyle w:val="NoSpacing"/>
            </w:pPr>
            <w:r>
              <w:t>Version</w:t>
            </w:r>
          </w:p>
        </w:tc>
        <w:tc>
          <w:tcPr>
            <w:tcW w:w="2394" w:type="dxa"/>
            <w:hideMark/>
          </w:tcPr>
          <w:p w14:paraId="409A8635" w14:textId="77777777" w:rsidR="00BA16B7" w:rsidRDefault="00BA16B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394" w:type="dxa"/>
            <w:hideMark/>
          </w:tcPr>
          <w:p w14:paraId="031B725A" w14:textId="77777777" w:rsidR="00BA16B7" w:rsidRDefault="00BA16B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2394" w:type="dxa"/>
            <w:hideMark/>
          </w:tcPr>
          <w:p w14:paraId="4EFEAB08" w14:textId="77777777" w:rsidR="00BA16B7" w:rsidRDefault="00BA16B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BA16B7" w14:paraId="08EEFF95" w14:textId="77777777" w:rsidTr="000C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2453DD3" w14:textId="12999B88" w:rsidR="00BA16B7" w:rsidRDefault="00BA16B7">
            <w:pPr>
              <w:pStyle w:val="NoSpacing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5619461" w14:textId="6118E1C1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B862714" w14:textId="7F46FB05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495FBF1" w14:textId="2A725581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6B7" w14:paraId="40008E0C" w14:textId="77777777" w:rsidTr="000C6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3CF9EFD" w14:textId="49EC54EE" w:rsidR="00BA16B7" w:rsidRDefault="00BA16B7">
            <w:pPr>
              <w:pStyle w:val="NoSpacing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F134206" w14:textId="3A5E2CE0" w:rsidR="00BA16B7" w:rsidRDefault="00BA1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0D8D286" w14:textId="084E2E98" w:rsidR="00BA16B7" w:rsidRDefault="00BA1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9111934" w14:textId="29F071E5" w:rsidR="00BA16B7" w:rsidRDefault="00BA1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16B7" w14:paraId="1548FBB2" w14:textId="77777777" w:rsidTr="000C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0564380" w14:textId="70EE6D90" w:rsidR="00BA16B7" w:rsidRDefault="00BA16B7">
            <w:pPr>
              <w:pStyle w:val="NoSpacing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86885A1" w14:textId="7A06C632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CDB3C58" w14:textId="629144BC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1A6C10E" w14:textId="0A831A36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6B7" w14:paraId="5DED2EAD" w14:textId="77777777" w:rsidTr="000C6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BECABB0" w14:textId="26F4C970" w:rsidR="00BA16B7" w:rsidRDefault="00BA16B7">
            <w:pPr>
              <w:pStyle w:val="NoSpacing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183587A" w14:textId="2C071671" w:rsidR="00BA16B7" w:rsidRDefault="00BA1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6E61C7C" w14:textId="1B9486E1" w:rsidR="00BA16B7" w:rsidRDefault="00BA1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4DF848F" w14:textId="05EE21D4" w:rsidR="00BA16B7" w:rsidRDefault="00BA1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16B7" w14:paraId="55D5BE2B" w14:textId="77777777" w:rsidTr="000C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F247CAF" w14:textId="7A0D0562" w:rsidR="00BA16B7" w:rsidRDefault="00BA16B7">
            <w:pPr>
              <w:pStyle w:val="NoSpacing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5D03D9B" w14:textId="6265E4F2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0D86337" w14:textId="20511A2D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862EAC8" w14:textId="17E0A61B" w:rsidR="00BA16B7" w:rsidRDefault="00BA1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6EFCD8" w14:textId="77777777" w:rsidR="00520CC3" w:rsidRDefault="00520CC3" w:rsidP="00AC26CC">
      <w:pPr>
        <w:pStyle w:val="NoSpacing"/>
      </w:pPr>
    </w:p>
    <w:sectPr w:rsidR="0052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5B6"/>
    <w:multiLevelType w:val="hybridMultilevel"/>
    <w:tmpl w:val="3222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2CC"/>
    <w:multiLevelType w:val="hybridMultilevel"/>
    <w:tmpl w:val="E38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425"/>
    <w:multiLevelType w:val="hybridMultilevel"/>
    <w:tmpl w:val="41A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91"/>
    <w:rsid w:val="000028EF"/>
    <w:rsid w:val="00010452"/>
    <w:rsid w:val="00053FA9"/>
    <w:rsid w:val="000918CC"/>
    <w:rsid w:val="000C3E68"/>
    <w:rsid w:val="000C6F9A"/>
    <w:rsid w:val="000E003A"/>
    <w:rsid w:val="00103CBC"/>
    <w:rsid w:val="00110D1B"/>
    <w:rsid w:val="00137F0E"/>
    <w:rsid w:val="00195B1A"/>
    <w:rsid w:val="001B4548"/>
    <w:rsid w:val="001E1D96"/>
    <w:rsid w:val="00235113"/>
    <w:rsid w:val="002B2930"/>
    <w:rsid w:val="00351E6B"/>
    <w:rsid w:val="003773F0"/>
    <w:rsid w:val="003F6592"/>
    <w:rsid w:val="004235D3"/>
    <w:rsid w:val="0051719F"/>
    <w:rsid w:val="005204C1"/>
    <w:rsid w:val="00520CC3"/>
    <w:rsid w:val="00524366"/>
    <w:rsid w:val="00552628"/>
    <w:rsid w:val="005A4180"/>
    <w:rsid w:val="005C0CCC"/>
    <w:rsid w:val="005F32C9"/>
    <w:rsid w:val="0061181E"/>
    <w:rsid w:val="006175A9"/>
    <w:rsid w:val="00620786"/>
    <w:rsid w:val="00636227"/>
    <w:rsid w:val="00672591"/>
    <w:rsid w:val="006853ED"/>
    <w:rsid w:val="006C4C11"/>
    <w:rsid w:val="006F74A6"/>
    <w:rsid w:val="00731CF9"/>
    <w:rsid w:val="007958A3"/>
    <w:rsid w:val="007A3069"/>
    <w:rsid w:val="007F1AD0"/>
    <w:rsid w:val="007F683B"/>
    <w:rsid w:val="00895975"/>
    <w:rsid w:val="008D6CAC"/>
    <w:rsid w:val="008E2030"/>
    <w:rsid w:val="00917EAE"/>
    <w:rsid w:val="0098136F"/>
    <w:rsid w:val="00A25F1C"/>
    <w:rsid w:val="00A662C9"/>
    <w:rsid w:val="00A76179"/>
    <w:rsid w:val="00AA01FE"/>
    <w:rsid w:val="00AB512D"/>
    <w:rsid w:val="00AC01A7"/>
    <w:rsid w:val="00AC26CC"/>
    <w:rsid w:val="00AC51EF"/>
    <w:rsid w:val="00B721F4"/>
    <w:rsid w:val="00B84841"/>
    <w:rsid w:val="00BA16B7"/>
    <w:rsid w:val="00BD111D"/>
    <w:rsid w:val="00C018F3"/>
    <w:rsid w:val="00CB3153"/>
    <w:rsid w:val="00CE1418"/>
    <w:rsid w:val="00D06EB3"/>
    <w:rsid w:val="00D22319"/>
    <w:rsid w:val="00D24B76"/>
    <w:rsid w:val="00D34418"/>
    <w:rsid w:val="00D44ED3"/>
    <w:rsid w:val="00D57CF0"/>
    <w:rsid w:val="00DC61BD"/>
    <w:rsid w:val="00E50266"/>
    <w:rsid w:val="00E92C1A"/>
    <w:rsid w:val="00F46FE7"/>
    <w:rsid w:val="00FB59CC"/>
    <w:rsid w:val="00FD0B92"/>
    <w:rsid w:val="00FD59B9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BAF2"/>
  <w15:chartTrackingRefBased/>
  <w15:docId w15:val="{23082B16-0AFB-4AB8-8A86-9BF8ABCE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91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591"/>
    <w:pPr>
      <w:spacing w:after="0" w:line="240" w:lineRule="auto"/>
    </w:pPr>
    <w:rPr>
      <w:rFonts w:ascii="Calibri" w:eastAsia="Calibri" w:hAnsi="Calibri" w:cs="Calibri"/>
    </w:rPr>
  </w:style>
  <w:style w:type="table" w:styleId="GridTable2-Accent5">
    <w:name w:val="Grid Table 2 Accent 5"/>
    <w:basedOn w:val="TableNormal"/>
    <w:uiPriority w:val="47"/>
    <w:rsid w:val="0052436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20CC3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BA16B7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atton@at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Hanahan</dc:creator>
  <cp:keywords/>
  <dc:description/>
  <cp:lastModifiedBy>Kevin Hanahan (khanahan)</cp:lastModifiedBy>
  <cp:revision>9</cp:revision>
  <dcterms:created xsi:type="dcterms:W3CDTF">2021-01-22T16:13:00Z</dcterms:created>
  <dcterms:modified xsi:type="dcterms:W3CDTF">2021-01-22T16:19:00Z</dcterms:modified>
</cp:coreProperties>
</file>